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4BA4D" w14:textId="21B5BE04" w:rsidR="006C3893" w:rsidRPr="006C3893" w:rsidRDefault="006C3893" w:rsidP="006C3893">
      <w:pPr>
        <w:rPr>
          <w:lang w:val="en-US"/>
        </w:rPr>
      </w:pPr>
      <w:r w:rsidRPr="006C3893">
        <w:rPr>
          <w:rFonts w:ascii="Arial" w:hAnsi="Arial"/>
          <w:b/>
          <w:u w:val="single"/>
          <w:lang w:val="en-US"/>
        </w:rPr>
        <w:t xml:space="preserve">Abstracts must be written in English. </w:t>
      </w:r>
    </w:p>
    <w:p w14:paraId="315C033A" w14:textId="77777777" w:rsidR="006C3893" w:rsidRPr="006C3893" w:rsidRDefault="006C3893" w:rsidP="006C3893">
      <w:pPr>
        <w:jc w:val="both"/>
        <w:rPr>
          <w:rFonts w:ascii="Arial" w:hAnsi="Arial"/>
          <w:b/>
          <w:lang w:val="en-US"/>
        </w:rPr>
      </w:pPr>
      <w:r w:rsidRPr="006C3893">
        <w:rPr>
          <w:rFonts w:ascii="Arial" w:hAnsi="Arial"/>
          <w:b/>
          <w:u w:val="single"/>
          <w:lang w:val="en-US"/>
        </w:rPr>
        <w:t>Title in Arial 12 bold, for example</w:t>
      </w:r>
      <w:r w:rsidRPr="006C3893">
        <w:rPr>
          <w:rFonts w:ascii="Arial" w:hAnsi="Arial"/>
          <w:b/>
          <w:lang w:val="en-US"/>
        </w:rPr>
        <w:t xml:space="preserve">: </w:t>
      </w:r>
    </w:p>
    <w:p w14:paraId="31F48716" w14:textId="77777777" w:rsidR="006C3893" w:rsidRPr="006C3893" w:rsidRDefault="006C3893" w:rsidP="006C3893">
      <w:pPr>
        <w:jc w:val="both"/>
        <w:rPr>
          <w:rFonts w:ascii="Arial" w:hAnsi="Arial"/>
          <w:b/>
          <w:lang w:val="en-US"/>
        </w:rPr>
      </w:pPr>
      <w:r w:rsidRPr="006C3893">
        <w:rPr>
          <w:rFonts w:ascii="Arial" w:hAnsi="Arial"/>
          <w:b/>
          <w:lang w:val="en-US"/>
        </w:rPr>
        <w:t xml:space="preserve">How does the </w:t>
      </w:r>
      <w:proofErr w:type="spellStart"/>
      <w:r w:rsidRPr="006C3893">
        <w:rPr>
          <w:rFonts w:ascii="Arial" w:hAnsi="Arial"/>
          <w:b/>
          <w:lang w:val="en-US"/>
        </w:rPr>
        <w:t>secretome</w:t>
      </w:r>
      <w:proofErr w:type="spellEnd"/>
      <w:r w:rsidRPr="006C3893">
        <w:rPr>
          <w:rFonts w:ascii="Arial" w:hAnsi="Arial"/>
          <w:b/>
          <w:lang w:val="en-US"/>
        </w:rPr>
        <w:t xml:space="preserve"> of the phytopathogen </w:t>
      </w:r>
      <w:r w:rsidRPr="006C3893">
        <w:rPr>
          <w:rFonts w:ascii="Arial" w:hAnsi="Arial"/>
          <w:b/>
          <w:i/>
          <w:lang w:val="en-US"/>
        </w:rPr>
        <w:t>Botrytis cinerea</w:t>
      </w:r>
      <w:r w:rsidRPr="006C3893">
        <w:rPr>
          <w:rFonts w:ascii="Arial" w:hAnsi="Arial"/>
          <w:b/>
          <w:lang w:val="en-US"/>
        </w:rPr>
        <w:t xml:space="preserve"> affect the interactions with its hosts? </w:t>
      </w:r>
    </w:p>
    <w:p w14:paraId="0CEF279E" w14:textId="77777777" w:rsidR="006C3893" w:rsidRPr="009250F2" w:rsidRDefault="006C3893" w:rsidP="006C3893">
      <w:pPr>
        <w:jc w:val="both"/>
        <w:rPr>
          <w:rFonts w:ascii="Arial" w:hAnsi="Arial"/>
        </w:rPr>
      </w:pPr>
      <w:r w:rsidRPr="006C3893">
        <w:rPr>
          <w:rFonts w:ascii="Arial" w:hAnsi="Arial"/>
          <w:u w:val="single"/>
          <w:lang w:val="en-US"/>
        </w:rPr>
        <w:t xml:space="preserve">Authors and authors’ affiliations in superscripts (Arial 12), plus the e-mail of the corresponding author. </w:t>
      </w:r>
      <w:r w:rsidRPr="009250F2">
        <w:rPr>
          <w:rFonts w:ascii="Arial" w:hAnsi="Arial"/>
          <w:u w:val="single"/>
        </w:rPr>
        <w:t>For example</w:t>
      </w:r>
      <w:r w:rsidRPr="009250F2">
        <w:rPr>
          <w:rFonts w:ascii="Arial" w:hAnsi="Arial"/>
        </w:rPr>
        <w:t xml:space="preserve">: </w:t>
      </w:r>
    </w:p>
    <w:p w14:paraId="4DCF9CF5" w14:textId="77777777" w:rsidR="006C3893" w:rsidRPr="009250F2" w:rsidRDefault="006C3893" w:rsidP="006C3893">
      <w:pPr>
        <w:jc w:val="both"/>
        <w:rPr>
          <w:rFonts w:ascii="Arial" w:hAnsi="Arial"/>
        </w:rPr>
      </w:pPr>
      <w:r w:rsidRPr="009250F2">
        <w:rPr>
          <w:rFonts w:ascii="Arial" w:hAnsi="Arial"/>
          <w:vertAlign w:val="superscript"/>
        </w:rPr>
        <w:t>1</w:t>
      </w:r>
      <w:r w:rsidRPr="009250F2">
        <w:rPr>
          <w:rFonts w:ascii="Arial" w:hAnsi="Arial"/>
        </w:rPr>
        <w:t>González</w:t>
      </w:r>
      <w:r>
        <w:rPr>
          <w:rFonts w:ascii="Arial" w:hAnsi="Arial"/>
        </w:rPr>
        <w:t>-</w:t>
      </w:r>
      <w:r w:rsidRPr="009250F2">
        <w:rPr>
          <w:rFonts w:ascii="Arial" w:hAnsi="Arial"/>
        </w:rPr>
        <w:t xml:space="preserve">Fernández Raquel, </w:t>
      </w:r>
      <w:r w:rsidRPr="009250F2">
        <w:rPr>
          <w:rFonts w:ascii="Arial" w:hAnsi="Arial"/>
          <w:vertAlign w:val="superscript"/>
        </w:rPr>
        <w:t>1</w:t>
      </w:r>
      <w:r w:rsidRPr="009250F2">
        <w:rPr>
          <w:rFonts w:ascii="Arial" w:hAnsi="Arial"/>
        </w:rPr>
        <w:t>Valero</w:t>
      </w:r>
      <w:r>
        <w:rPr>
          <w:rFonts w:ascii="Arial" w:hAnsi="Arial"/>
        </w:rPr>
        <w:t>-</w:t>
      </w:r>
      <w:r w:rsidRPr="009250F2">
        <w:rPr>
          <w:rFonts w:ascii="Arial" w:hAnsi="Arial"/>
        </w:rPr>
        <w:t>Galván José</w:t>
      </w:r>
      <w:r>
        <w:rPr>
          <w:rFonts w:ascii="Arial" w:hAnsi="Arial"/>
        </w:rPr>
        <w:t xml:space="preserve">, </w:t>
      </w:r>
      <w:r w:rsidRPr="009250F2">
        <w:rPr>
          <w:rFonts w:ascii="Arial" w:hAnsi="Arial"/>
          <w:vertAlign w:val="superscript"/>
        </w:rPr>
        <w:t>2</w:t>
      </w:r>
      <w:r w:rsidRPr="009250F2">
        <w:rPr>
          <w:rFonts w:ascii="Arial" w:hAnsi="Arial"/>
        </w:rPr>
        <w:t>Jorrín</w:t>
      </w:r>
      <w:r>
        <w:rPr>
          <w:rFonts w:ascii="Arial" w:hAnsi="Arial"/>
        </w:rPr>
        <w:t>-</w:t>
      </w:r>
      <w:r w:rsidRPr="009250F2">
        <w:rPr>
          <w:rFonts w:ascii="Arial" w:hAnsi="Arial"/>
        </w:rPr>
        <w:t xml:space="preserve">Novo Jesús V. </w:t>
      </w:r>
    </w:p>
    <w:p w14:paraId="30C54490" w14:textId="77777777" w:rsidR="006C3893" w:rsidRPr="006C3893" w:rsidRDefault="006C3893" w:rsidP="006C3893">
      <w:pPr>
        <w:jc w:val="both"/>
        <w:rPr>
          <w:rFonts w:ascii="Arial" w:hAnsi="Arial"/>
          <w:lang w:val="en-US"/>
        </w:rPr>
      </w:pPr>
      <w:r w:rsidRPr="006C3893">
        <w:rPr>
          <w:rFonts w:ascii="Arial" w:hAnsi="Arial"/>
          <w:vertAlign w:val="superscript"/>
          <w:lang w:val="en-US"/>
        </w:rPr>
        <w:t>1</w:t>
      </w:r>
      <w:r w:rsidRPr="006C3893">
        <w:rPr>
          <w:rFonts w:ascii="Arial" w:hAnsi="Arial"/>
          <w:lang w:val="en-US"/>
        </w:rPr>
        <w:t xml:space="preserve">Dpt. of Chemistry-Biology, Biomedical Sciences Institute, Autonomous University of Ciudad Juárez, 32300-Ciudad Juárez, Chihuahua, Mexico, </w:t>
      </w:r>
      <w:r w:rsidRPr="006C3893">
        <w:rPr>
          <w:rFonts w:ascii="Arial" w:hAnsi="Arial"/>
          <w:vertAlign w:val="superscript"/>
          <w:lang w:val="en-US"/>
        </w:rPr>
        <w:t>2</w:t>
      </w:r>
      <w:r w:rsidRPr="006C3893">
        <w:rPr>
          <w:rFonts w:ascii="Arial" w:hAnsi="Arial"/>
          <w:lang w:val="en-US"/>
        </w:rPr>
        <w:t xml:space="preserve">Agroforestry and Plant Biochemistry and Proteomics Research Group, Dpt. Of Biochemistry and Molecular Biology, University of Córdoba, Agrifood Campus of International Excellence (ceiA3), 14071-Córdoba, Spain. </w:t>
      </w:r>
      <w:hyperlink r:id="rId6" w:history="1">
        <w:r w:rsidRPr="006C3893">
          <w:rPr>
            <w:rFonts w:ascii="Arial" w:hAnsi="Arial"/>
            <w:color w:val="467886" w:themeColor="hyperlink"/>
            <w:u w:val="single"/>
            <w:lang w:val="en-US"/>
          </w:rPr>
          <w:t>raquel.gonzalez@uacj.mx</w:t>
        </w:r>
      </w:hyperlink>
    </w:p>
    <w:p w14:paraId="1AE40ED3" w14:textId="77777777" w:rsidR="006C3893" w:rsidRPr="006C3893" w:rsidRDefault="006C3893" w:rsidP="006C3893">
      <w:pPr>
        <w:jc w:val="both"/>
        <w:rPr>
          <w:rFonts w:ascii="Arial" w:hAnsi="Arial"/>
          <w:u w:val="single"/>
          <w:lang w:val="en-US"/>
        </w:rPr>
      </w:pPr>
      <w:r w:rsidRPr="006C3893">
        <w:rPr>
          <w:rFonts w:ascii="Arial" w:hAnsi="Arial"/>
          <w:u w:val="single"/>
          <w:lang w:val="en-US"/>
        </w:rPr>
        <w:t>Abstract in Arial 12, for example:</w:t>
      </w:r>
    </w:p>
    <w:p w14:paraId="3A196535" w14:textId="77777777" w:rsidR="006C3893" w:rsidRPr="006C3893" w:rsidRDefault="006C3893" w:rsidP="006C3893">
      <w:pPr>
        <w:jc w:val="both"/>
        <w:rPr>
          <w:rFonts w:ascii="Arial" w:hAnsi="Arial"/>
          <w:lang w:val="en-US"/>
        </w:rPr>
      </w:pPr>
      <w:r w:rsidRPr="006C3893">
        <w:rPr>
          <w:rFonts w:ascii="Arial" w:hAnsi="Arial"/>
          <w:i/>
          <w:lang w:val="en-US"/>
        </w:rPr>
        <w:t>Botrytis cinerea</w:t>
      </w:r>
      <w:r w:rsidRPr="006C3893">
        <w:rPr>
          <w:rFonts w:ascii="Arial" w:hAnsi="Arial"/>
          <w:lang w:val="en-US"/>
        </w:rPr>
        <w:t xml:space="preserve"> is a necrotrophic plant pathogen, which causes important economic losses in agriculture, both pre- and post-harvest, in more than 200 plant species. The </w:t>
      </w:r>
      <w:r w:rsidRPr="006C3893">
        <w:rPr>
          <w:rFonts w:ascii="Arial" w:hAnsi="Arial"/>
          <w:i/>
          <w:lang w:val="en-US"/>
        </w:rPr>
        <w:t>B. cinerea</w:t>
      </w:r>
      <w:r w:rsidRPr="006C3893">
        <w:rPr>
          <w:rFonts w:ascii="Arial" w:hAnsi="Arial"/>
          <w:lang w:val="en-US"/>
        </w:rPr>
        <w:t xml:space="preserve"> infection process includes several stages which conclude with the plant tissue penetration and colonization (1). This infection process is mainly achieved by producing proteins and other compounds, including cell wall-degrading enzymes (CWDEs), and non-specific phytotoxic metabolite such as </w:t>
      </w:r>
      <w:proofErr w:type="spellStart"/>
      <w:r w:rsidRPr="006C3893">
        <w:rPr>
          <w:rFonts w:ascii="Arial" w:hAnsi="Arial"/>
          <w:lang w:val="en-US"/>
        </w:rPr>
        <w:t>botrydial</w:t>
      </w:r>
      <w:proofErr w:type="spellEnd"/>
      <w:r w:rsidRPr="006C3893">
        <w:rPr>
          <w:rFonts w:ascii="Arial" w:hAnsi="Arial"/>
          <w:lang w:val="en-US"/>
        </w:rPr>
        <w:t xml:space="preserve"> and </w:t>
      </w:r>
      <w:proofErr w:type="spellStart"/>
      <w:r w:rsidRPr="006C3893">
        <w:rPr>
          <w:rFonts w:ascii="Arial" w:hAnsi="Arial"/>
          <w:lang w:val="en-US"/>
        </w:rPr>
        <w:t>botcinolides</w:t>
      </w:r>
      <w:proofErr w:type="spellEnd"/>
      <w:r w:rsidRPr="006C3893">
        <w:rPr>
          <w:rFonts w:ascii="Arial" w:hAnsi="Arial"/>
          <w:lang w:val="en-US"/>
        </w:rPr>
        <w:t xml:space="preserve">, that are extracellularly secreted by the fungus, the boost of an oxidative burst because of reactive oxygen species accumulation, and molecules which induce the plant hypersensitive response (HR) (2). In the last years, </w:t>
      </w:r>
      <w:proofErr w:type="spellStart"/>
      <w:r w:rsidRPr="006C3893">
        <w:rPr>
          <w:rFonts w:ascii="Arial" w:hAnsi="Arial"/>
          <w:lang w:val="en-US"/>
        </w:rPr>
        <w:t>secretomics</w:t>
      </w:r>
      <w:proofErr w:type="spellEnd"/>
      <w:r w:rsidRPr="006C3893">
        <w:rPr>
          <w:rFonts w:ascii="Arial" w:hAnsi="Arial"/>
          <w:lang w:val="en-US"/>
        </w:rPr>
        <w:t xml:space="preserve"> has provided important findings in the understanding of </w:t>
      </w:r>
      <w:r w:rsidRPr="006C3893" w:rsidDel="005442C2">
        <w:rPr>
          <w:rFonts w:ascii="Arial" w:hAnsi="Arial"/>
          <w:i/>
          <w:lang w:val="en-US"/>
        </w:rPr>
        <w:t>B. cinerea</w:t>
      </w:r>
      <w:r w:rsidRPr="006C3893">
        <w:rPr>
          <w:rFonts w:ascii="Arial" w:hAnsi="Arial"/>
          <w:lang w:val="en-US"/>
        </w:rPr>
        <w:t xml:space="preserve"> pathogenicity by using complementary gel-based and gel-free proteomic approaches (3). Many extracellular proteins, which are secreted by </w:t>
      </w:r>
      <w:r w:rsidRPr="006C3893">
        <w:rPr>
          <w:rFonts w:ascii="Arial" w:hAnsi="Arial"/>
          <w:i/>
          <w:lang w:val="en-US"/>
        </w:rPr>
        <w:t>B. cinerea</w:t>
      </w:r>
      <w:r w:rsidRPr="006C3893">
        <w:rPr>
          <w:rFonts w:ascii="Arial" w:hAnsi="Arial"/>
          <w:lang w:val="en-US"/>
        </w:rPr>
        <w:t xml:space="preserve">, have been identified from </w:t>
      </w:r>
      <w:r w:rsidRPr="006C3893">
        <w:rPr>
          <w:rFonts w:ascii="Arial" w:hAnsi="Arial"/>
          <w:i/>
          <w:lang w:val="en-US"/>
        </w:rPr>
        <w:t>in vitro</w:t>
      </w:r>
      <w:r w:rsidRPr="006C3893">
        <w:rPr>
          <w:rFonts w:ascii="Arial" w:hAnsi="Arial"/>
          <w:lang w:val="en-US"/>
        </w:rPr>
        <w:t xml:space="preserve"> experiments by our group (4), and belonging to different functional categories. Therefore, </w:t>
      </w:r>
      <w:proofErr w:type="spellStart"/>
      <w:r w:rsidRPr="006C3893">
        <w:rPr>
          <w:rFonts w:ascii="Arial" w:hAnsi="Arial"/>
          <w:lang w:val="en-US"/>
        </w:rPr>
        <w:t>secretomics</w:t>
      </w:r>
      <w:proofErr w:type="spellEnd"/>
      <w:r w:rsidRPr="006C3893">
        <w:rPr>
          <w:rFonts w:ascii="Arial" w:hAnsi="Arial"/>
          <w:lang w:val="en-US"/>
        </w:rPr>
        <w:t xml:space="preserve"> has provided important advances in the identification of extracellular secreted proteins by </w:t>
      </w:r>
      <w:r w:rsidRPr="006C3893">
        <w:rPr>
          <w:rFonts w:ascii="Arial" w:hAnsi="Arial"/>
          <w:i/>
          <w:lang w:val="en-US"/>
        </w:rPr>
        <w:t>B. cinerea</w:t>
      </w:r>
      <w:r w:rsidRPr="006C3893">
        <w:rPr>
          <w:rFonts w:ascii="Arial" w:hAnsi="Arial"/>
          <w:lang w:val="en-US"/>
        </w:rPr>
        <w:t xml:space="preserve"> and may take part in the interaction with its host to occur a successful infection. Moreover, due to its high adaptability to different hosts, specific proteomic studies both </w:t>
      </w:r>
      <w:r w:rsidRPr="006C3893">
        <w:rPr>
          <w:rFonts w:ascii="Arial" w:hAnsi="Arial"/>
          <w:i/>
          <w:lang w:val="en-US"/>
        </w:rPr>
        <w:t>in vitro</w:t>
      </w:r>
      <w:r w:rsidRPr="006C3893">
        <w:rPr>
          <w:rFonts w:ascii="Arial" w:hAnsi="Arial"/>
          <w:lang w:val="en-US"/>
        </w:rPr>
        <w:t xml:space="preserve"> and </w:t>
      </w:r>
      <w:r w:rsidRPr="006C3893">
        <w:rPr>
          <w:rFonts w:ascii="Arial" w:hAnsi="Arial"/>
          <w:i/>
          <w:lang w:val="en-US"/>
        </w:rPr>
        <w:t>in planta</w:t>
      </w:r>
      <w:r w:rsidRPr="006C3893">
        <w:rPr>
          <w:rFonts w:ascii="Arial" w:hAnsi="Arial"/>
          <w:lang w:val="en-US"/>
        </w:rPr>
        <w:t xml:space="preserve"> need to be requested in the future to each different host to discover the players involved in the infection mechanisms.</w:t>
      </w:r>
    </w:p>
    <w:p w14:paraId="7B4C70B3" w14:textId="77777777" w:rsidR="006C3893" w:rsidRPr="006C3893" w:rsidRDefault="006C3893" w:rsidP="006C3893">
      <w:pPr>
        <w:spacing w:after="0"/>
        <w:jc w:val="both"/>
        <w:rPr>
          <w:rFonts w:ascii="Arial" w:hAnsi="Arial"/>
          <w:sz w:val="20"/>
          <w:lang w:val="en-US"/>
        </w:rPr>
      </w:pPr>
      <w:r w:rsidRPr="006C3893">
        <w:rPr>
          <w:rFonts w:ascii="Arial" w:hAnsi="Arial"/>
          <w:sz w:val="20"/>
          <w:u w:val="single"/>
          <w:lang w:val="en-US"/>
        </w:rPr>
        <w:t xml:space="preserve">If </w:t>
      </w:r>
      <w:proofErr w:type="gramStart"/>
      <w:r w:rsidRPr="006C3893">
        <w:rPr>
          <w:rFonts w:ascii="Arial" w:hAnsi="Arial"/>
          <w:sz w:val="20"/>
          <w:u w:val="single"/>
          <w:lang w:val="en-US"/>
        </w:rPr>
        <w:t>included,</w:t>
      </w:r>
      <w:proofErr w:type="gramEnd"/>
      <w:r w:rsidRPr="006C3893">
        <w:rPr>
          <w:rFonts w:ascii="Arial" w:hAnsi="Arial"/>
          <w:sz w:val="20"/>
          <w:u w:val="single"/>
          <w:lang w:val="en-US"/>
        </w:rPr>
        <w:t xml:space="preserve"> references as well as funding and acknowledgements in Arial 10. For example:</w:t>
      </w:r>
    </w:p>
    <w:p w14:paraId="3E8C8A0C" w14:textId="77777777" w:rsidR="006C3893" w:rsidRPr="006C3893" w:rsidRDefault="006C3893" w:rsidP="006C3893">
      <w:pPr>
        <w:spacing w:after="0"/>
        <w:jc w:val="both"/>
        <w:rPr>
          <w:rFonts w:ascii="Arial" w:hAnsi="Arial"/>
          <w:sz w:val="20"/>
          <w:lang w:val="en-US"/>
        </w:rPr>
      </w:pPr>
    </w:p>
    <w:p w14:paraId="3098D457" w14:textId="77777777" w:rsidR="006C3893" w:rsidRPr="006C3893" w:rsidRDefault="006C3893" w:rsidP="006C3893">
      <w:pPr>
        <w:spacing w:after="0"/>
        <w:jc w:val="both"/>
        <w:rPr>
          <w:rFonts w:ascii="Arial" w:hAnsi="Arial"/>
          <w:b/>
          <w:noProof/>
          <w:sz w:val="20"/>
          <w:lang w:val="en-US"/>
        </w:rPr>
      </w:pPr>
      <w:r w:rsidRPr="006C3893">
        <w:rPr>
          <w:rFonts w:ascii="Arial" w:hAnsi="Arial"/>
          <w:sz w:val="20"/>
          <w:lang w:val="en-US"/>
        </w:rPr>
        <w:t>References</w:t>
      </w:r>
      <w:r w:rsidRPr="00DA07A0">
        <w:rPr>
          <w:rFonts w:ascii="Arial" w:hAnsi="Arial"/>
          <w:sz w:val="20"/>
        </w:rPr>
        <w:fldChar w:fldCharType="begin"/>
      </w:r>
      <w:r w:rsidRPr="006C3893">
        <w:rPr>
          <w:rFonts w:ascii="Arial" w:hAnsi="Arial"/>
          <w:sz w:val="20"/>
          <w:lang w:val="en-US"/>
        </w:rPr>
        <w:instrText xml:space="preserve"> ADDIN EN.REFLIST </w:instrText>
      </w:r>
      <w:r w:rsidRPr="00DA07A0">
        <w:rPr>
          <w:rFonts w:ascii="Arial" w:hAnsi="Arial"/>
          <w:sz w:val="20"/>
        </w:rPr>
        <w:fldChar w:fldCharType="separate"/>
      </w:r>
    </w:p>
    <w:p w14:paraId="7216C93F" w14:textId="77777777" w:rsidR="006C3893" w:rsidRPr="006C3893" w:rsidRDefault="006C3893" w:rsidP="006C3893">
      <w:pPr>
        <w:spacing w:after="0"/>
        <w:jc w:val="both"/>
        <w:rPr>
          <w:rFonts w:ascii="Arial" w:hAnsi="Arial"/>
          <w:noProof/>
          <w:sz w:val="20"/>
          <w:lang w:val="en-US"/>
        </w:rPr>
      </w:pPr>
      <w:r w:rsidRPr="006C3893">
        <w:rPr>
          <w:rFonts w:ascii="Arial" w:hAnsi="Arial"/>
          <w:noProof/>
          <w:sz w:val="20"/>
          <w:lang w:val="en-US"/>
        </w:rPr>
        <w:t>1 van Kan J. A. L. (2006) Trends in Plant Sci. 11: 247-53.</w:t>
      </w:r>
    </w:p>
    <w:p w14:paraId="6F336634" w14:textId="77777777" w:rsidR="006C3893" w:rsidRPr="00DA07A0" w:rsidRDefault="006C3893" w:rsidP="006C3893">
      <w:pPr>
        <w:spacing w:after="0"/>
        <w:jc w:val="both"/>
        <w:rPr>
          <w:rFonts w:ascii="Arial" w:hAnsi="Arial"/>
          <w:noProof/>
          <w:sz w:val="20"/>
        </w:rPr>
      </w:pPr>
      <w:r w:rsidRPr="006C3893">
        <w:rPr>
          <w:rFonts w:ascii="Arial" w:hAnsi="Arial"/>
          <w:noProof/>
          <w:sz w:val="20"/>
          <w:lang w:val="en-US"/>
        </w:rPr>
        <w:t xml:space="preserve">2 Williamson B., </w:t>
      </w:r>
      <w:r w:rsidRPr="006C3893">
        <w:rPr>
          <w:rFonts w:ascii="Arial" w:hAnsi="Arial"/>
          <w:i/>
          <w:noProof/>
          <w:sz w:val="20"/>
          <w:lang w:val="en-US"/>
        </w:rPr>
        <w:t>et al</w:t>
      </w:r>
      <w:r w:rsidRPr="006C3893">
        <w:rPr>
          <w:rFonts w:ascii="Arial" w:hAnsi="Arial"/>
          <w:noProof/>
          <w:sz w:val="20"/>
          <w:lang w:val="en-US"/>
        </w:rPr>
        <w:t xml:space="preserve"> (2007) Mol. </w:t>
      </w:r>
      <w:r w:rsidRPr="00DA07A0">
        <w:rPr>
          <w:rFonts w:ascii="Arial" w:hAnsi="Arial"/>
          <w:noProof/>
          <w:sz w:val="20"/>
        </w:rPr>
        <w:t>Plant Pathol. 8: 561-80.</w:t>
      </w:r>
    </w:p>
    <w:p w14:paraId="21E4BD86" w14:textId="77777777" w:rsidR="006C3893" w:rsidRPr="006C3893" w:rsidRDefault="006C3893" w:rsidP="006C3893">
      <w:pPr>
        <w:spacing w:after="0"/>
        <w:jc w:val="both"/>
        <w:rPr>
          <w:rFonts w:ascii="Arial" w:hAnsi="Arial"/>
          <w:noProof/>
          <w:sz w:val="20"/>
          <w:lang w:val="en-US"/>
        </w:rPr>
      </w:pPr>
      <w:r>
        <w:rPr>
          <w:rFonts w:ascii="Arial" w:hAnsi="Arial"/>
          <w:noProof/>
          <w:sz w:val="20"/>
        </w:rPr>
        <w:t>3</w:t>
      </w:r>
      <w:r w:rsidRPr="00DA07A0">
        <w:rPr>
          <w:rFonts w:ascii="Arial" w:hAnsi="Arial"/>
          <w:noProof/>
          <w:sz w:val="20"/>
        </w:rPr>
        <w:t xml:space="preserve"> González-Fernández R., </w:t>
      </w:r>
      <w:r w:rsidRPr="00DA07A0">
        <w:rPr>
          <w:rFonts w:ascii="Arial" w:hAnsi="Arial"/>
          <w:i/>
          <w:noProof/>
          <w:sz w:val="20"/>
        </w:rPr>
        <w:t>et al</w:t>
      </w:r>
      <w:r w:rsidRPr="00DA07A0">
        <w:rPr>
          <w:rFonts w:ascii="Arial" w:hAnsi="Arial"/>
          <w:noProof/>
          <w:sz w:val="20"/>
        </w:rPr>
        <w:t xml:space="preserve"> (2014) J. Proteomics. </w:t>
      </w:r>
      <w:r w:rsidRPr="006C3893">
        <w:rPr>
          <w:rFonts w:ascii="Arial" w:hAnsi="Arial"/>
          <w:noProof/>
          <w:sz w:val="20"/>
          <w:lang w:val="en-US"/>
        </w:rPr>
        <w:t>97: 195-221.</w:t>
      </w:r>
    </w:p>
    <w:p w14:paraId="5F476F0E" w14:textId="77777777" w:rsidR="006C3893" w:rsidRPr="006C3893" w:rsidRDefault="006C3893" w:rsidP="006C3893">
      <w:pPr>
        <w:spacing w:after="0"/>
        <w:ind w:left="720" w:hanging="720"/>
        <w:jc w:val="both"/>
        <w:rPr>
          <w:rFonts w:ascii="Arial" w:hAnsi="Arial"/>
          <w:noProof/>
          <w:sz w:val="20"/>
          <w:lang w:val="en-US"/>
        </w:rPr>
      </w:pPr>
    </w:p>
    <w:p w14:paraId="527C60D3" w14:textId="77777777" w:rsidR="006C3893" w:rsidRPr="006C3893" w:rsidRDefault="006C3893" w:rsidP="006C3893">
      <w:pPr>
        <w:widowControl w:val="0"/>
        <w:autoSpaceDE w:val="0"/>
        <w:autoSpaceDN w:val="0"/>
        <w:adjustRightInd w:val="0"/>
        <w:spacing w:after="0"/>
        <w:jc w:val="both"/>
        <w:rPr>
          <w:rFonts w:ascii="Arial" w:hAnsi="Arial"/>
          <w:sz w:val="20"/>
          <w:szCs w:val="16"/>
          <w:lang w:val="en-US" w:bidi="es-ES_tradnl"/>
        </w:rPr>
      </w:pPr>
      <w:r w:rsidRPr="00DA07A0">
        <w:rPr>
          <w:rFonts w:ascii="Arial" w:hAnsi="Arial"/>
          <w:sz w:val="20"/>
        </w:rPr>
        <w:fldChar w:fldCharType="end"/>
      </w:r>
      <w:r w:rsidRPr="006C3893">
        <w:rPr>
          <w:rFonts w:ascii="Arial" w:hAnsi="Arial" w:cs="Arial"/>
          <w:sz w:val="20"/>
          <w:lang w:val="en-US"/>
        </w:rPr>
        <w:t xml:space="preserve">This Project was supported by </w:t>
      </w:r>
      <w:r w:rsidRPr="006C3893">
        <w:rPr>
          <w:rFonts w:ascii="Arial" w:hAnsi="Arial"/>
          <w:sz w:val="20"/>
          <w:szCs w:val="16"/>
          <w:lang w:val="en-US" w:bidi="es-ES_tradnl"/>
        </w:rPr>
        <w:t>the Spanish Ministry of Science and Innovation (</w:t>
      </w:r>
      <w:proofErr w:type="spellStart"/>
      <w:r w:rsidRPr="006C3893">
        <w:rPr>
          <w:rFonts w:ascii="Arial" w:hAnsi="Arial"/>
          <w:sz w:val="20"/>
          <w:szCs w:val="16"/>
          <w:lang w:val="en-US" w:bidi="es-ES_tradnl"/>
        </w:rPr>
        <w:t>BotBank</w:t>
      </w:r>
      <w:proofErr w:type="spellEnd"/>
      <w:r w:rsidRPr="006C3893">
        <w:rPr>
          <w:rFonts w:ascii="Arial" w:hAnsi="Arial"/>
          <w:sz w:val="20"/>
          <w:szCs w:val="16"/>
          <w:lang w:val="en-US" w:bidi="es-ES_tradnl"/>
        </w:rPr>
        <w:t xml:space="preserve"> Project, EUI2008-03686), and the Autonomous University of Ciudad Juárez.</w:t>
      </w:r>
    </w:p>
    <w:p w14:paraId="089B5858" w14:textId="77777777" w:rsidR="006C3893" w:rsidRPr="006C3893" w:rsidRDefault="006C3893" w:rsidP="006C3893">
      <w:pPr>
        <w:widowControl w:val="0"/>
        <w:autoSpaceDE w:val="0"/>
        <w:autoSpaceDN w:val="0"/>
        <w:adjustRightInd w:val="0"/>
        <w:spacing w:after="0"/>
        <w:jc w:val="both"/>
        <w:rPr>
          <w:rFonts w:ascii="Arial" w:hAnsi="Arial"/>
          <w:sz w:val="20"/>
          <w:szCs w:val="16"/>
          <w:lang w:val="en-US" w:bidi="es-ES_tradnl"/>
        </w:rPr>
      </w:pPr>
    </w:p>
    <w:p w14:paraId="773ABA19" w14:textId="0EB9FB16" w:rsidR="00782C17" w:rsidRDefault="006C3893" w:rsidP="00B22D82">
      <w:pPr>
        <w:widowControl w:val="0"/>
        <w:autoSpaceDE w:val="0"/>
        <w:autoSpaceDN w:val="0"/>
        <w:adjustRightInd w:val="0"/>
        <w:spacing w:after="0"/>
        <w:jc w:val="both"/>
      </w:pPr>
      <w:r w:rsidRPr="006C3893">
        <w:rPr>
          <w:rFonts w:ascii="Arial" w:hAnsi="Arial" w:cs="Arial"/>
          <w:b/>
          <w:lang w:val="en-US"/>
        </w:rPr>
        <w:t>Note: text must be justified. Abstract length should not exceed one page, if you exceed the length or modify document margins your abstract will be rejected.</w:t>
      </w:r>
    </w:p>
    <w:sectPr w:rsidR="00782C17" w:rsidSect="00A8011B">
      <w:headerReference w:type="default" r:id="rId7"/>
      <w:footerReference w:type="default" r:id="rId8"/>
      <w:pgSz w:w="12240" w:h="15840"/>
      <w:pgMar w:top="1985" w:right="900" w:bottom="1417" w:left="851" w:header="73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91E8B" w14:textId="77777777" w:rsidR="00A8011B" w:rsidRDefault="00A8011B" w:rsidP="00462B32">
      <w:pPr>
        <w:spacing w:after="0" w:line="240" w:lineRule="auto"/>
      </w:pPr>
      <w:r>
        <w:separator/>
      </w:r>
    </w:p>
  </w:endnote>
  <w:endnote w:type="continuationSeparator" w:id="0">
    <w:p w14:paraId="201998EF" w14:textId="77777777" w:rsidR="00A8011B" w:rsidRDefault="00A8011B" w:rsidP="00462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CEA4D" w14:textId="77777777" w:rsidR="00965BB5" w:rsidRPr="00965BB5" w:rsidRDefault="00965BB5">
    <w:pPr>
      <w:pStyle w:val="Piedepgina"/>
      <w:jc w:val="center"/>
      <w:rPr>
        <w:caps/>
        <w:color w:val="000000" w:themeColor="text1"/>
      </w:rPr>
    </w:pPr>
    <w:r w:rsidRPr="00965BB5">
      <w:rPr>
        <w:caps/>
        <w:color w:val="000000" w:themeColor="text1"/>
      </w:rPr>
      <w:fldChar w:fldCharType="begin"/>
    </w:r>
    <w:r w:rsidRPr="00965BB5">
      <w:rPr>
        <w:caps/>
        <w:color w:val="000000" w:themeColor="text1"/>
      </w:rPr>
      <w:instrText>PAGE   \* MERGEFORMAT</w:instrText>
    </w:r>
    <w:r w:rsidRPr="00965BB5">
      <w:rPr>
        <w:caps/>
        <w:color w:val="000000" w:themeColor="text1"/>
      </w:rPr>
      <w:fldChar w:fldCharType="separate"/>
    </w:r>
    <w:r w:rsidRPr="00965BB5">
      <w:rPr>
        <w:caps/>
        <w:color w:val="000000" w:themeColor="text1"/>
        <w:lang w:val="es-ES"/>
      </w:rPr>
      <w:t>2</w:t>
    </w:r>
    <w:r w:rsidRPr="00965BB5">
      <w:rPr>
        <w:caps/>
        <w:color w:val="000000" w:themeColor="text1"/>
      </w:rPr>
      <w:fldChar w:fldCharType="end"/>
    </w:r>
  </w:p>
  <w:p w14:paraId="3874B315" w14:textId="005F801F" w:rsidR="00462B32" w:rsidRDefault="00462B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43F47" w14:textId="77777777" w:rsidR="00A8011B" w:rsidRDefault="00A8011B" w:rsidP="00462B32">
      <w:pPr>
        <w:spacing w:after="0" w:line="240" w:lineRule="auto"/>
      </w:pPr>
      <w:r>
        <w:separator/>
      </w:r>
    </w:p>
  </w:footnote>
  <w:footnote w:type="continuationSeparator" w:id="0">
    <w:p w14:paraId="6E4EABDB" w14:textId="77777777" w:rsidR="00A8011B" w:rsidRDefault="00A8011B" w:rsidP="00462B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F5615" w14:textId="183D676F" w:rsidR="00462B32" w:rsidRPr="00462B32" w:rsidRDefault="00462B32" w:rsidP="00462B32">
    <w:pPr>
      <w:pStyle w:val="Encabezado"/>
    </w:pPr>
    <w:r>
      <w:rPr>
        <w:noProof/>
      </w:rPr>
      <w:drawing>
        <wp:anchor distT="0" distB="0" distL="114300" distR="114300" simplePos="0" relativeHeight="251658240" behindDoc="1" locked="0" layoutInCell="1" allowOverlap="1" wp14:anchorId="06B5C79F" wp14:editId="00E939AF">
          <wp:simplePos x="0" y="0"/>
          <wp:positionH relativeFrom="page">
            <wp:posOffset>140</wp:posOffset>
          </wp:positionH>
          <wp:positionV relativeFrom="paragraph">
            <wp:posOffset>-467995</wp:posOffset>
          </wp:positionV>
          <wp:extent cx="7772120" cy="10058038"/>
          <wp:effectExtent l="0" t="0" r="635" b="635"/>
          <wp:wrapNone/>
          <wp:docPr id="11028782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87094"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72120" cy="1005803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B32"/>
    <w:rsid w:val="00025AFE"/>
    <w:rsid w:val="00462B32"/>
    <w:rsid w:val="00607E7B"/>
    <w:rsid w:val="006C3893"/>
    <w:rsid w:val="00782C17"/>
    <w:rsid w:val="00965BB5"/>
    <w:rsid w:val="009A4AA1"/>
    <w:rsid w:val="00A8011B"/>
    <w:rsid w:val="00AB1DB6"/>
    <w:rsid w:val="00B22D82"/>
    <w:rsid w:val="00C67E98"/>
    <w:rsid w:val="00E27F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2F235"/>
  <w15:chartTrackingRefBased/>
  <w15:docId w15:val="{2BFBBB3E-DF4E-485C-89B2-847EF3B0A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62B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62B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62B3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62B3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62B3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62B3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62B3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62B3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62B3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62B3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62B3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62B3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62B3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62B3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62B3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62B3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62B3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62B32"/>
    <w:rPr>
      <w:rFonts w:eastAsiaTheme="majorEastAsia" w:cstheme="majorBidi"/>
      <w:color w:val="272727" w:themeColor="text1" w:themeTint="D8"/>
    </w:rPr>
  </w:style>
  <w:style w:type="paragraph" w:styleId="Ttulo">
    <w:name w:val="Title"/>
    <w:basedOn w:val="Normal"/>
    <w:next w:val="Normal"/>
    <w:link w:val="TtuloCar"/>
    <w:uiPriority w:val="10"/>
    <w:qFormat/>
    <w:rsid w:val="00462B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62B3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62B3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62B3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62B32"/>
    <w:pPr>
      <w:spacing w:before="160"/>
      <w:jc w:val="center"/>
    </w:pPr>
    <w:rPr>
      <w:i/>
      <w:iCs/>
      <w:color w:val="404040" w:themeColor="text1" w:themeTint="BF"/>
    </w:rPr>
  </w:style>
  <w:style w:type="character" w:customStyle="1" w:styleId="CitaCar">
    <w:name w:val="Cita Car"/>
    <w:basedOn w:val="Fuentedeprrafopredeter"/>
    <w:link w:val="Cita"/>
    <w:uiPriority w:val="29"/>
    <w:rsid w:val="00462B32"/>
    <w:rPr>
      <w:i/>
      <w:iCs/>
      <w:color w:val="404040" w:themeColor="text1" w:themeTint="BF"/>
    </w:rPr>
  </w:style>
  <w:style w:type="paragraph" w:styleId="Prrafodelista">
    <w:name w:val="List Paragraph"/>
    <w:basedOn w:val="Normal"/>
    <w:uiPriority w:val="34"/>
    <w:qFormat/>
    <w:rsid w:val="00462B32"/>
    <w:pPr>
      <w:ind w:left="720"/>
      <w:contextualSpacing/>
    </w:pPr>
  </w:style>
  <w:style w:type="character" w:styleId="nfasisintenso">
    <w:name w:val="Intense Emphasis"/>
    <w:basedOn w:val="Fuentedeprrafopredeter"/>
    <w:uiPriority w:val="21"/>
    <w:qFormat/>
    <w:rsid w:val="00462B32"/>
    <w:rPr>
      <w:i/>
      <w:iCs/>
      <w:color w:val="0F4761" w:themeColor="accent1" w:themeShade="BF"/>
    </w:rPr>
  </w:style>
  <w:style w:type="paragraph" w:styleId="Citadestacada">
    <w:name w:val="Intense Quote"/>
    <w:basedOn w:val="Normal"/>
    <w:next w:val="Normal"/>
    <w:link w:val="CitadestacadaCar"/>
    <w:uiPriority w:val="30"/>
    <w:qFormat/>
    <w:rsid w:val="00462B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62B32"/>
    <w:rPr>
      <w:i/>
      <w:iCs/>
      <w:color w:val="0F4761" w:themeColor="accent1" w:themeShade="BF"/>
    </w:rPr>
  </w:style>
  <w:style w:type="character" w:styleId="Referenciaintensa">
    <w:name w:val="Intense Reference"/>
    <w:basedOn w:val="Fuentedeprrafopredeter"/>
    <w:uiPriority w:val="32"/>
    <w:qFormat/>
    <w:rsid w:val="00462B32"/>
    <w:rPr>
      <w:b/>
      <w:bCs/>
      <w:smallCaps/>
      <w:color w:val="0F4761" w:themeColor="accent1" w:themeShade="BF"/>
      <w:spacing w:val="5"/>
    </w:rPr>
  </w:style>
  <w:style w:type="paragraph" w:styleId="Encabezado">
    <w:name w:val="header"/>
    <w:basedOn w:val="Normal"/>
    <w:link w:val="EncabezadoCar"/>
    <w:uiPriority w:val="99"/>
    <w:unhideWhenUsed/>
    <w:rsid w:val="00462B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2B32"/>
  </w:style>
  <w:style w:type="paragraph" w:styleId="Piedepgina">
    <w:name w:val="footer"/>
    <w:basedOn w:val="Normal"/>
    <w:link w:val="PiedepginaCar"/>
    <w:uiPriority w:val="99"/>
    <w:unhideWhenUsed/>
    <w:rsid w:val="00462B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62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aquel.gonzalez@uacj.m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455</Words>
  <Characters>2506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Flores</dc:creator>
  <cp:keywords/>
  <dc:description/>
  <cp:lastModifiedBy>HUERTA OCAMPO JOSE ANGEL</cp:lastModifiedBy>
  <cp:revision>2</cp:revision>
  <dcterms:created xsi:type="dcterms:W3CDTF">2024-04-08T17:28:00Z</dcterms:created>
  <dcterms:modified xsi:type="dcterms:W3CDTF">2024-04-08T17:28:00Z</dcterms:modified>
</cp:coreProperties>
</file>